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72" w:rsidRPr="00131F72" w:rsidRDefault="00131F72" w:rsidP="00131F72">
      <w:pPr>
        <w:widowControl/>
        <w:shd w:val="clear" w:color="auto" w:fill="EAEAEA"/>
        <w:jc w:val="center"/>
        <w:textAlignment w:val="center"/>
        <w:rPr>
          <w:rFonts w:ascii="Helvetica" w:eastAsia="新細明體" w:hAnsi="Helvetica" w:cs="Helvetica"/>
          <w:b/>
          <w:bCs/>
          <w:color w:val="23347D"/>
          <w:kern w:val="0"/>
          <w:sz w:val="36"/>
          <w:szCs w:val="36"/>
        </w:rPr>
      </w:pPr>
      <w:r w:rsidRPr="00131F72">
        <w:rPr>
          <w:rFonts w:ascii="Helvetica" w:eastAsia="新細明體" w:hAnsi="Helvetica" w:cs="Helvetica"/>
          <w:b/>
          <w:bCs/>
          <w:color w:val="23347D"/>
          <w:kern w:val="0"/>
          <w:sz w:val="36"/>
          <w:szCs w:val="36"/>
        </w:rPr>
        <w:t>2019 Press Release - Taiwan, the best education destination for Filipino students</w:t>
      </w:r>
    </w:p>
    <w:p w:rsidR="00131F72" w:rsidRPr="00131F72" w:rsidRDefault="00131F72" w:rsidP="00131F72">
      <w:pPr>
        <w:widowControl/>
        <w:shd w:val="clear" w:color="auto" w:fill="EAEAEA"/>
        <w:rPr>
          <w:rFonts w:ascii="Helvetica" w:eastAsia="新細明體" w:hAnsi="Helvetica" w:cs="Helvetica"/>
          <w:color w:val="23347D"/>
          <w:kern w:val="0"/>
          <w:szCs w:val="24"/>
        </w:rPr>
      </w:pPr>
      <w:r w:rsidRPr="00131F72">
        <w:rPr>
          <w:rFonts w:ascii="Helvetica" w:eastAsia="新細明體" w:hAnsi="Helvetica" w:cs="Helvetica"/>
          <w:color w:val="23347D"/>
          <w:kern w:val="0"/>
          <w:szCs w:val="24"/>
        </w:rPr>
        <w:t>Post Date</w:t>
      </w:r>
      <w:proofErr w:type="gramStart"/>
      <w:r w:rsidRPr="00131F72">
        <w:rPr>
          <w:rFonts w:ascii="Helvetica" w:eastAsia="新細明體" w:hAnsi="Helvetica" w:cs="Helvetica"/>
          <w:color w:val="23347D"/>
          <w:kern w:val="0"/>
          <w:szCs w:val="24"/>
        </w:rPr>
        <w:t>:2018</w:t>
      </w:r>
      <w:proofErr w:type="gramEnd"/>
      <w:r w:rsidRPr="00131F72">
        <w:rPr>
          <w:rFonts w:ascii="Helvetica" w:eastAsia="新細明體" w:hAnsi="Helvetica" w:cs="Helvetica"/>
          <w:color w:val="23347D"/>
          <w:kern w:val="0"/>
          <w:szCs w:val="24"/>
        </w:rPr>
        <w:t>-01-23 (Last Update:2019-01-07)</w:t>
      </w:r>
    </w:p>
    <w:p w:rsidR="00131F72" w:rsidRPr="00131F72" w:rsidRDefault="00131F72" w:rsidP="00131F72">
      <w:pPr>
        <w:widowControl/>
        <w:shd w:val="clear" w:color="auto" w:fill="EAEAEA"/>
        <w:jc w:val="right"/>
        <w:rPr>
          <w:rFonts w:ascii="Helvetica" w:eastAsia="新細明體" w:hAnsi="Helvetica" w:cs="Helvetica"/>
          <w:color w:val="333333"/>
          <w:kern w:val="0"/>
          <w:szCs w:val="24"/>
        </w:rPr>
      </w:pPr>
      <w:r w:rsidRPr="00131F72">
        <w:rPr>
          <w:rFonts w:ascii="Helvetica" w:eastAsia="新細明體" w:hAnsi="Helvetica" w:cs="Helvetica"/>
          <w:noProof/>
          <w:color w:val="333333"/>
          <w:kern w:val="0"/>
          <w:szCs w:val="24"/>
        </w:rPr>
        <mc:AlternateContent>
          <mc:Choice Requires="wps">
            <w:drawing>
              <wp:inline distT="0" distB="0" distL="0" distR="0" wp14:anchorId="37F6DAE9" wp14:editId="1438E268">
                <wp:extent cx="190500" cy="190500"/>
                <wp:effectExtent l="0" t="0" r="0" b="0"/>
                <wp:docPr id="4" name="AutoShape 3" descr="https://www.roc-taiwan.org/imgAssets/icons/sha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roc-taiwan.org/imgAssets/icons/share.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Pcme9cCAAD0BQAADgAAAAAAAAAAAAAAAAAuAgAAZHJzL2Uyb0Rv&#10;Yy54bWxQSwECLQAUAAYACAAAACEA8xEcJ9gAAAADAQAADwAAAAAAAAAAAAAAAAAxBQAAZHJzL2Rv&#10;d25yZXYueG1sUEsFBgAAAAAEAAQA8wAAADYGAAAAAA==&#10;" filled="f" stroked="f">
                <o:lock v:ext="edit" aspectratio="t"/>
                <w10:anchorlock/>
              </v:rect>
            </w:pict>
          </mc:Fallback>
        </mc:AlternateContent>
      </w:r>
      <w:r w:rsidRPr="00131F72">
        <w:rPr>
          <w:rFonts w:ascii="Helvetica" w:eastAsia="新細明體" w:hAnsi="Helvetica" w:cs="Helvetica"/>
          <w:color w:val="333333"/>
          <w:kern w:val="0"/>
          <w:szCs w:val="24"/>
        </w:rPr>
        <w:t> </w:t>
      </w:r>
      <w:r w:rsidRPr="00131F72">
        <w:rPr>
          <w:rFonts w:ascii="Helvetica" w:eastAsia="新細明體" w:hAnsi="Helvetica" w:cs="Helvetica"/>
          <w:noProof/>
          <w:color w:val="333333"/>
          <w:kern w:val="0"/>
          <w:szCs w:val="24"/>
        </w:rPr>
        <mc:AlternateContent>
          <mc:Choice Requires="wps">
            <w:drawing>
              <wp:inline distT="0" distB="0" distL="0" distR="0" wp14:anchorId="65526760" wp14:editId="2554C58A">
                <wp:extent cx="190500" cy="190500"/>
                <wp:effectExtent l="0" t="0" r="0" b="0"/>
                <wp:docPr id="3" name="AutoShape 4" descr="https://www.roc-taiwan.org/imgAssets/icons/prin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roc-taiwan.org/imgAssets/icons/print.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eH1ZY9cCAAD0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131F72" w:rsidRPr="00131F72" w:rsidRDefault="00131F72" w:rsidP="00131F72">
      <w:pPr>
        <w:widowControl/>
        <w:shd w:val="clear" w:color="auto" w:fill="DEDDDB"/>
        <w:spacing w:after="150" w:line="375" w:lineRule="atLeast"/>
        <w:jc w:val="center"/>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u w:val="single"/>
        </w:rPr>
        <w:t>Taiwan, the best education destination for Filipino students</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xml:space="preserve">The Taipei Economic and Cultural Office (TECO) in the Philippines </w:t>
      </w:r>
      <w:proofErr w:type="gramStart"/>
      <w:r w:rsidRPr="00131F72">
        <w:rPr>
          <w:rFonts w:ascii="Helvetica" w:eastAsia="新細明體" w:hAnsi="Helvetica" w:cs="Helvetica"/>
          <w:color w:val="333333"/>
          <w:kern w:val="0"/>
          <w:szCs w:val="24"/>
        </w:rPr>
        <w:t>has</w:t>
      </w:r>
      <w:proofErr w:type="gramEnd"/>
      <w:r w:rsidRPr="00131F72">
        <w:rPr>
          <w:rFonts w:ascii="Helvetica" w:eastAsia="新細明體" w:hAnsi="Helvetica" w:cs="Helvetica"/>
          <w:color w:val="333333"/>
          <w:kern w:val="0"/>
          <w:szCs w:val="24"/>
        </w:rPr>
        <w:t xml:space="preserve"> once again provided various scholarship programs for qualified Filipino students. These scholarships are intended for Filipinos who wish to pursue degree studies in Taiwan (Bachelor’s, Master’s and Doctoral Degrees) or for those who would like to learn the Mandarin language in the Republic of China (Taiwan).</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xml:space="preserve">Due to popular demand and the positive response from Filipino students in past years, Taiwan‘s Ministry of Education (MOE) has decided to offer more slots for the scholarships for Filipinos to pursue their studies in Taiwan. Through this initiative, the MOE also presents the opportunity to learn the Mandarin language, not only through highly qualified teachers in </w:t>
      </w:r>
      <w:r w:rsidRPr="00105F97">
        <w:rPr>
          <w:rFonts w:ascii="Helvetica" w:eastAsia="新細明體" w:hAnsi="Helvetica" w:cs="Helvetica"/>
          <w:color w:val="333333"/>
          <w:kern w:val="0"/>
          <w:szCs w:val="24"/>
          <w:highlight w:val="yellow"/>
        </w:rPr>
        <w:t>more than 50 language institutions,</w:t>
      </w:r>
      <w:r w:rsidRPr="00131F72">
        <w:rPr>
          <w:rFonts w:ascii="Helvetica" w:eastAsia="新細明體" w:hAnsi="Helvetica" w:cs="Helvetica"/>
          <w:color w:val="333333"/>
          <w:kern w:val="0"/>
          <w:szCs w:val="24"/>
        </w:rPr>
        <w:t xml:space="preserve"> but also the chance to experience the rich and vibrant Taiwanese culture, and broaden their international perspectives through their daily lives there.</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05F97">
        <w:rPr>
          <w:rFonts w:ascii="Helvetica" w:eastAsia="新細明體" w:hAnsi="Helvetica" w:cs="Helvetica"/>
          <w:color w:val="333333"/>
          <w:kern w:val="0"/>
          <w:szCs w:val="24"/>
          <w:highlight w:val="yellow"/>
        </w:rPr>
        <w:t>As from February 1, 2019,</w:t>
      </w:r>
      <w:r w:rsidRPr="00131F72">
        <w:rPr>
          <w:rFonts w:ascii="Helvetica" w:eastAsia="新細明體" w:hAnsi="Helvetica" w:cs="Helvetica"/>
          <w:color w:val="333333"/>
          <w:kern w:val="0"/>
          <w:szCs w:val="24"/>
        </w:rPr>
        <w:t xml:space="preserve"> TECO will accept applications for the following scholarship programs:</w:t>
      </w:r>
    </w:p>
    <w:p w:rsidR="00131F72" w:rsidRPr="00A32A4A" w:rsidRDefault="00131F72" w:rsidP="00131F72">
      <w:pPr>
        <w:widowControl/>
        <w:numPr>
          <w:ilvl w:val="0"/>
          <w:numId w:val="1"/>
        </w:numPr>
        <w:shd w:val="clear" w:color="auto" w:fill="DEDDDB"/>
        <w:spacing w:before="100" w:beforeAutospacing="1" w:after="100" w:afterAutospacing="1" w:line="375" w:lineRule="atLeast"/>
        <w:ind w:left="495"/>
        <w:rPr>
          <w:rFonts w:ascii="Helvetica" w:eastAsia="新細明體" w:hAnsi="Helvetica" w:cs="Helvetica"/>
          <w:color w:val="333333"/>
          <w:kern w:val="0"/>
          <w:szCs w:val="24"/>
          <w:highlight w:val="yellow"/>
        </w:rPr>
      </w:pPr>
      <w:r w:rsidRPr="00235C28">
        <w:rPr>
          <w:rFonts w:ascii="Helvetica" w:eastAsia="新細明體" w:hAnsi="Helvetica" w:cs="Helvetica"/>
          <w:b/>
          <w:bCs/>
          <w:color w:val="333333"/>
          <w:kern w:val="0"/>
          <w:szCs w:val="24"/>
          <w:highlight w:val="yellow"/>
        </w:rPr>
        <w:t>Ministry of Education (MOE) Scholarship</w:t>
      </w:r>
      <w:r w:rsidRPr="00131F72">
        <w:rPr>
          <w:rFonts w:ascii="Helvetica" w:eastAsia="新細明體" w:hAnsi="Helvetica" w:cs="Helvetica"/>
          <w:color w:val="333333"/>
          <w:kern w:val="0"/>
          <w:szCs w:val="24"/>
        </w:rPr>
        <w:t xml:space="preserve">: Grants a 4-year scholarship for undergraduate studies, a 2-year scholarship for Master’s, and a grant of up to 4 years for Doctoral Degree. </w:t>
      </w:r>
      <w:r w:rsidRPr="004C0589">
        <w:rPr>
          <w:rFonts w:ascii="Helvetica" w:eastAsia="新細明體" w:hAnsi="Helvetica" w:cs="Helvetica"/>
          <w:color w:val="333333"/>
          <w:kern w:val="0"/>
          <w:szCs w:val="24"/>
          <w:highlight w:val="yellow"/>
        </w:rPr>
        <w:t>The MOE will shoulder 40,000 NTD each semester for the corresponding tuition and miscellaneous expenses</w:t>
      </w:r>
      <w:r w:rsidRPr="00131F72">
        <w:rPr>
          <w:rFonts w:ascii="Helvetica" w:eastAsia="新細明體" w:hAnsi="Helvetica" w:cs="Helvetica"/>
          <w:color w:val="333333"/>
          <w:kern w:val="0"/>
          <w:szCs w:val="24"/>
        </w:rPr>
        <w:t xml:space="preserve">. The remaining costs will be shouldered by the scholarship recipient. An additional 15,000 NTD will be given to those undertaking university undergraduate studies, and 20, 000 NTD for those pursuing their Master’s and </w:t>
      </w:r>
      <w:proofErr w:type="spellStart"/>
      <w:r w:rsidRPr="00131F72">
        <w:rPr>
          <w:rFonts w:ascii="Helvetica" w:eastAsia="新細明體" w:hAnsi="Helvetica" w:cs="Helvetica"/>
          <w:color w:val="333333"/>
          <w:kern w:val="0"/>
          <w:szCs w:val="24"/>
        </w:rPr>
        <w:t>Ph.D</w:t>
      </w:r>
      <w:proofErr w:type="spellEnd"/>
      <w:r w:rsidRPr="00131F72">
        <w:rPr>
          <w:rFonts w:ascii="Helvetica" w:eastAsia="新細明體" w:hAnsi="Helvetica" w:cs="Helvetica"/>
          <w:color w:val="333333"/>
          <w:kern w:val="0"/>
          <w:szCs w:val="24"/>
        </w:rPr>
        <w:t xml:space="preserve"> will be given as the scholar’s </w:t>
      </w:r>
      <w:r w:rsidRPr="00A32A4A">
        <w:rPr>
          <w:rFonts w:ascii="Helvetica" w:eastAsia="新細明體" w:hAnsi="Helvetica" w:cs="Helvetica"/>
          <w:color w:val="333333"/>
          <w:kern w:val="0"/>
          <w:szCs w:val="24"/>
          <w:highlight w:val="yellow"/>
        </w:rPr>
        <w:t>monthly stipend.</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rPr>
        <w:t xml:space="preserve">Application is from </w:t>
      </w:r>
      <w:r w:rsidRPr="00554A7E">
        <w:rPr>
          <w:rFonts w:ascii="Helvetica" w:eastAsia="新細明體" w:hAnsi="Helvetica" w:cs="Helvetica"/>
          <w:b/>
          <w:bCs/>
          <w:color w:val="333333"/>
          <w:kern w:val="0"/>
          <w:szCs w:val="24"/>
          <w:highlight w:val="yellow"/>
        </w:rPr>
        <w:t>February 1 to April 30</w:t>
      </w:r>
      <w:r w:rsidRPr="00131F72">
        <w:rPr>
          <w:rFonts w:ascii="Helvetica" w:eastAsia="新細明體" w:hAnsi="Helvetica" w:cs="Helvetica"/>
          <w:b/>
          <w:bCs/>
          <w:color w:val="333333"/>
          <w:kern w:val="0"/>
          <w:szCs w:val="24"/>
        </w:rPr>
        <w:t>, 2019</w:t>
      </w:r>
      <w:r w:rsidRPr="00131F72">
        <w:rPr>
          <w:rFonts w:ascii="Helvetica" w:eastAsia="新細明體" w:hAnsi="Helvetica" w:cs="Helvetica"/>
          <w:color w:val="333333"/>
          <w:kern w:val="0"/>
          <w:szCs w:val="24"/>
        </w:rPr>
        <w:t>.</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Website: </w:t>
      </w:r>
      <w:hyperlink r:id="rId6" w:history="1">
        <w:r w:rsidRPr="00131F72">
          <w:rPr>
            <w:rFonts w:ascii="Helvetica" w:eastAsia="新細明體" w:hAnsi="Helvetica" w:cs="Helvetica"/>
            <w:color w:val="337AB7"/>
            <w:kern w:val="0"/>
            <w:szCs w:val="24"/>
            <w:u w:val="single"/>
          </w:rPr>
          <w:t>http://edu.law.moe.gov.tw/EngLawContent.aspx?Type=E&amp;id=250</w:t>
        </w:r>
      </w:hyperlink>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lastRenderedPageBreak/>
        <w:t> </w:t>
      </w:r>
    </w:p>
    <w:p w:rsidR="00131F72" w:rsidRPr="00131F72" w:rsidRDefault="00131F72" w:rsidP="00131F72">
      <w:pPr>
        <w:widowControl/>
        <w:numPr>
          <w:ilvl w:val="0"/>
          <w:numId w:val="2"/>
        </w:numPr>
        <w:shd w:val="clear" w:color="auto" w:fill="DEDDDB"/>
        <w:spacing w:before="100" w:beforeAutospacing="1" w:after="100" w:afterAutospacing="1" w:line="375" w:lineRule="atLeast"/>
        <w:ind w:left="495"/>
        <w:rPr>
          <w:rFonts w:ascii="Helvetica" w:eastAsia="新細明體" w:hAnsi="Helvetica" w:cs="Helvetica"/>
          <w:color w:val="333333"/>
          <w:kern w:val="0"/>
          <w:szCs w:val="24"/>
        </w:rPr>
      </w:pPr>
      <w:proofErr w:type="spellStart"/>
      <w:r w:rsidRPr="00235C28">
        <w:rPr>
          <w:rFonts w:ascii="Helvetica" w:eastAsia="新細明體" w:hAnsi="Helvetica" w:cs="Helvetica"/>
          <w:b/>
          <w:bCs/>
          <w:color w:val="333333"/>
          <w:kern w:val="0"/>
          <w:szCs w:val="24"/>
          <w:highlight w:val="yellow"/>
        </w:rPr>
        <w:t>Huayu</w:t>
      </w:r>
      <w:proofErr w:type="spellEnd"/>
      <w:r w:rsidRPr="00235C28">
        <w:rPr>
          <w:rFonts w:ascii="Helvetica" w:eastAsia="新細明體" w:hAnsi="Helvetica" w:cs="Helvetica"/>
          <w:b/>
          <w:bCs/>
          <w:color w:val="333333"/>
          <w:kern w:val="0"/>
          <w:szCs w:val="24"/>
          <w:highlight w:val="yellow"/>
        </w:rPr>
        <w:t xml:space="preserve"> (Mandarin) Enrichment Scholarship</w:t>
      </w:r>
      <w:r w:rsidRPr="00131F72">
        <w:rPr>
          <w:rFonts w:ascii="Helvetica" w:eastAsia="新細明體" w:hAnsi="Helvetica" w:cs="Helvetica"/>
          <w:color w:val="333333"/>
          <w:kern w:val="0"/>
          <w:szCs w:val="24"/>
        </w:rPr>
        <w:t xml:space="preserve">: Allows applicants to choose to pursue either 2 months or 3 months of intensive Mandarin courses, subject to TECO’s approval. The grant provides a </w:t>
      </w:r>
      <w:r w:rsidRPr="00447E2F">
        <w:rPr>
          <w:rFonts w:ascii="Helvetica" w:eastAsia="新細明體" w:hAnsi="Helvetica" w:cs="Helvetica"/>
          <w:color w:val="333333"/>
          <w:kern w:val="0"/>
          <w:szCs w:val="24"/>
          <w:highlight w:val="yellow"/>
        </w:rPr>
        <w:t>monthly stipend of 25,000 NTD</w:t>
      </w:r>
      <w:r w:rsidRPr="00131F72">
        <w:rPr>
          <w:rFonts w:ascii="Helvetica" w:eastAsia="新細明體" w:hAnsi="Helvetica" w:cs="Helvetica"/>
          <w:color w:val="333333"/>
          <w:kern w:val="0"/>
          <w:szCs w:val="24"/>
        </w:rPr>
        <w:t xml:space="preserve"> to cover all the expenses (tuition, miscellaneous, etc.)</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rPr>
        <w:t xml:space="preserve">Application is from </w:t>
      </w:r>
      <w:r w:rsidRPr="000A7964">
        <w:rPr>
          <w:rFonts w:ascii="Helvetica" w:eastAsia="新細明體" w:hAnsi="Helvetica" w:cs="Helvetica"/>
          <w:b/>
          <w:bCs/>
          <w:color w:val="333333"/>
          <w:kern w:val="0"/>
          <w:szCs w:val="24"/>
          <w:highlight w:val="yellow"/>
        </w:rPr>
        <w:t>February 1 to March 31</w:t>
      </w:r>
      <w:r w:rsidRPr="00131F72">
        <w:rPr>
          <w:rFonts w:ascii="Helvetica" w:eastAsia="新細明體" w:hAnsi="Helvetica" w:cs="Helvetica"/>
          <w:b/>
          <w:bCs/>
          <w:color w:val="333333"/>
          <w:kern w:val="0"/>
          <w:szCs w:val="24"/>
        </w:rPr>
        <w:t>, 2019</w:t>
      </w:r>
      <w:r w:rsidRPr="00131F72">
        <w:rPr>
          <w:rFonts w:ascii="Helvetica" w:eastAsia="新細明體" w:hAnsi="Helvetica" w:cs="Helvetica"/>
          <w:color w:val="333333"/>
          <w:kern w:val="0"/>
          <w:szCs w:val="24"/>
        </w:rPr>
        <w:t>.</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Website: http://edu.law.moe.gov.tw/EngLawContent.aspx?Type=E&amp;id=70</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w:t>
      </w:r>
    </w:p>
    <w:p w:rsidR="00131F72" w:rsidRPr="00131F72" w:rsidRDefault="00131F72" w:rsidP="00131F72">
      <w:pPr>
        <w:widowControl/>
        <w:numPr>
          <w:ilvl w:val="0"/>
          <w:numId w:val="3"/>
        </w:numPr>
        <w:shd w:val="clear" w:color="auto" w:fill="DEDDDB"/>
        <w:spacing w:before="100" w:beforeAutospacing="1" w:after="100" w:afterAutospacing="1" w:line="375" w:lineRule="atLeast"/>
        <w:ind w:left="495"/>
        <w:rPr>
          <w:rFonts w:ascii="Helvetica" w:eastAsia="新細明體" w:hAnsi="Helvetica" w:cs="Helvetica"/>
          <w:color w:val="333333"/>
          <w:kern w:val="0"/>
          <w:szCs w:val="24"/>
        </w:rPr>
      </w:pPr>
      <w:r w:rsidRPr="00235C28">
        <w:rPr>
          <w:rFonts w:ascii="Helvetica" w:eastAsia="新細明體" w:hAnsi="Helvetica" w:cs="Helvetica"/>
          <w:b/>
          <w:bCs/>
          <w:color w:val="333333"/>
          <w:kern w:val="0"/>
          <w:szCs w:val="24"/>
          <w:highlight w:val="yellow"/>
        </w:rPr>
        <w:t>International Cooperation and Development Fund (ICDF):</w:t>
      </w:r>
      <w:r w:rsidRPr="00131F72">
        <w:rPr>
          <w:rFonts w:ascii="Helvetica" w:eastAsia="新細明體" w:hAnsi="Helvetica" w:cs="Helvetica"/>
          <w:b/>
          <w:bCs/>
          <w:color w:val="333333"/>
          <w:kern w:val="0"/>
          <w:szCs w:val="24"/>
        </w:rPr>
        <w:t> </w:t>
      </w:r>
      <w:r w:rsidRPr="00131F72">
        <w:rPr>
          <w:rFonts w:ascii="Helvetica" w:eastAsia="新細明體" w:hAnsi="Helvetica" w:cs="Helvetica"/>
          <w:color w:val="333333"/>
          <w:kern w:val="0"/>
          <w:szCs w:val="24"/>
        </w:rPr>
        <w:t xml:space="preserve">The grant </w:t>
      </w:r>
      <w:r w:rsidRPr="00853C21">
        <w:rPr>
          <w:rFonts w:ascii="Helvetica" w:eastAsia="新細明體" w:hAnsi="Helvetica" w:cs="Helvetica"/>
          <w:color w:val="333333"/>
          <w:kern w:val="0"/>
          <w:szCs w:val="24"/>
          <w:highlight w:val="yellow"/>
        </w:rPr>
        <w:t>covers the full tuition fee, living expenses, economy class airfare tickets and textbook costs.</w:t>
      </w:r>
      <w:r w:rsidRPr="00131F72">
        <w:rPr>
          <w:rFonts w:ascii="Helvetica" w:eastAsia="新細明體" w:hAnsi="Helvetica" w:cs="Helvetica"/>
          <w:color w:val="333333"/>
          <w:kern w:val="0"/>
          <w:szCs w:val="24"/>
        </w:rPr>
        <w:t xml:space="preserve"> Scholars pursuing Master’s will receive a </w:t>
      </w:r>
      <w:r w:rsidRPr="00D535F6">
        <w:rPr>
          <w:rFonts w:ascii="Helvetica" w:eastAsia="新細明體" w:hAnsi="Helvetica" w:cs="Helvetica"/>
          <w:color w:val="333333"/>
          <w:kern w:val="0"/>
          <w:szCs w:val="24"/>
          <w:highlight w:val="yellow"/>
        </w:rPr>
        <w:t>monthly stipend of 15, 000 NTD and 17, 000 NTD</w:t>
      </w:r>
      <w:r w:rsidRPr="00131F72">
        <w:rPr>
          <w:rFonts w:ascii="Helvetica" w:eastAsia="新細明體" w:hAnsi="Helvetica" w:cs="Helvetica"/>
          <w:color w:val="333333"/>
          <w:kern w:val="0"/>
          <w:szCs w:val="24"/>
        </w:rPr>
        <w:t xml:space="preserve"> for those pursuing Doctoral degrees.</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rPr>
        <w:t xml:space="preserve">Application is from </w:t>
      </w:r>
      <w:r w:rsidRPr="009E278B">
        <w:rPr>
          <w:rFonts w:ascii="Helvetica" w:eastAsia="新細明體" w:hAnsi="Helvetica" w:cs="Helvetica"/>
          <w:b/>
          <w:bCs/>
          <w:color w:val="333333"/>
          <w:kern w:val="0"/>
          <w:szCs w:val="24"/>
          <w:highlight w:val="yellow"/>
        </w:rPr>
        <w:t>January 1 to March 16,</w:t>
      </w:r>
      <w:r w:rsidRPr="00131F72">
        <w:rPr>
          <w:rFonts w:ascii="Helvetica" w:eastAsia="新細明體" w:hAnsi="Helvetica" w:cs="Helvetica"/>
          <w:b/>
          <w:bCs/>
          <w:color w:val="333333"/>
          <w:kern w:val="0"/>
          <w:szCs w:val="24"/>
        </w:rPr>
        <w:t xml:space="preserve"> 2019</w:t>
      </w:r>
      <w:r w:rsidRPr="00131F72">
        <w:rPr>
          <w:rFonts w:ascii="Helvetica" w:eastAsia="新細明體" w:hAnsi="Helvetica" w:cs="Helvetica"/>
          <w:color w:val="333333"/>
          <w:kern w:val="0"/>
          <w:szCs w:val="24"/>
        </w:rPr>
        <w:t>.</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Website: http://www.icdf.org.tw/ct.asp?xItem=12505&amp;CtNode=30316&amp;mp=2</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9C6AF9">
        <w:rPr>
          <w:rFonts w:ascii="Helvetica" w:eastAsia="新細明體" w:hAnsi="Helvetica" w:cs="Helvetica"/>
          <w:color w:val="333333"/>
          <w:kern w:val="0"/>
          <w:szCs w:val="24"/>
          <w:highlight w:val="yellow"/>
        </w:rPr>
        <w:t>Each applicant can only apply for one scholarship program among these offerings</w:t>
      </w:r>
      <w:r w:rsidRPr="00131F72">
        <w:rPr>
          <w:rFonts w:ascii="Helvetica" w:eastAsia="新細明體" w:hAnsi="Helvetica" w:cs="Helvetica"/>
          <w:color w:val="333333"/>
          <w:kern w:val="0"/>
          <w:szCs w:val="24"/>
        </w:rPr>
        <w:t xml:space="preserve"> and must process first their university admission to their preferred university in Taiwan. They also have to comply and submit necessary scholarship requirements to TECO for review and recommendation based from the indicated deadlines of each program.</w:t>
      </w:r>
      <w:r w:rsidRPr="00131F72">
        <w:rPr>
          <w:rFonts w:ascii="Helvetica" w:eastAsia="新細明體" w:hAnsi="Helvetica" w:cs="Helvetica"/>
          <w:b/>
          <w:bCs/>
          <w:color w:val="333333"/>
          <w:kern w:val="0"/>
          <w:szCs w:val="24"/>
        </w:rPr>
        <w:t> </w:t>
      </w:r>
      <w:r w:rsidRPr="00131F72">
        <w:rPr>
          <w:rFonts w:ascii="Helvetica" w:eastAsia="新細明體" w:hAnsi="Helvetica" w:cs="Helvetica"/>
          <w:b/>
          <w:bCs/>
          <w:color w:val="333333"/>
          <w:kern w:val="0"/>
          <w:szCs w:val="24"/>
          <w:u w:val="single"/>
        </w:rPr>
        <w:t xml:space="preserve">It is important to note that a student is </w:t>
      </w:r>
      <w:r w:rsidRPr="00893390">
        <w:rPr>
          <w:rFonts w:ascii="Helvetica" w:eastAsia="新細明體" w:hAnsi="Helvetica" w:cs="Helvetica"/>
          <w:b/>
          <w:bCs/>
          <w:color w:val="333333"/>
          <w:kern w:val="0"/>
          <w:szCs w:val="24"/>
          <w:highlight w:val="yellow"/>
          <w:u w:val="single"/>
        </w:rPr>
        <w:t>ineligible</w:t>
      </w:r>
      <w:r w:rsidRPr="00131F72">
        <w:rPr>
          <w:rFonts w:ascii="Helvetica" w:eastAsia="新細明體" w:hAnsi="Helvetica" w:cs="Helvetica"/>
          <w:b/>
          <w:bCs/>
          <w:color w:val="333333"/>
          <w:kern w:val="0"/>
          <w:szCs w:val="24"/>
          <w:u w:val="single"/>
        </w:rPr>
        <w:t xml:space="preserve"> to apply if he or she is </w:t>
      </w:r>
      <w:r w:rsidRPr="00B46C9D">
        <w:rPr>
          <w:rFonts w:ascii="Helvetica" w:eastAsia="新細明體" w:hAnsi="Helvetica" w:cs="Helvetica"/>
          <w:b/>
          <w:bCs/>
          <w:color w:val="333333"/>
          <w:kern w:val="0"/>
          <w:szCs w:val="24"/>
          <w:highlight w:val="yellow"/>
          <w:u w:val="single"/>
        </w:rPr>
        <w:t>currently enrolled in another program in Taiwan</w:t>
      </w:r>
      <w:r w:rsidRPr="00B46C9D">
        <w:rPr>
          <w:rFonts w:ascii="Helvetica" w:eastAsia="新細明體" w:hAnsi="Helvetica" w:cs="Helvetica"/>
          <w:color w:val="333333"/>
          <w:kern w:val="0"/>
          <w:szCs w:val="24"/>
          <w:highlight w:val="yellow"/>
          <w:u w:val="single"/>
        </w:rPr>
        <w:t>.</w:t>
      </w:r>
      <w:r w:rsidRPr="00131F72">
        <w:rPr>
          <w:rFonts w:ascii="Helvetica" w:eastAsia="新細明體" w:hAnsi="Helvetica" w:cs="Helvetica"/>
          <w:color w:val="333333"/>
          <w:kern w:val="0"/>
          <w:szCs w:val="24"/>
          <w:u w:val="single"/>
        </w:rPr>
        <w:t> </w:t>
      </w:r>
      <w:r w:rsidRPr="00131F72">
        <w:rPr>
          <w:rFonts w:ascii="Helvetica" w:eastAsia="新細明體" w:hAnsi="Helvetica" w:cs="Helvetica"/>
          <w:color w:val="333333"/>
          <w:kern w:val="0"/>
          <w:szCs w:val="24"/>
        </w:rPr>
        <w:t>Scholarship guidelines and additional requirements prescribed by TECO can be found at the official website of TECO in the Philippines at </w:t>
      </w:r>
      <w:hyperlink r:id="rId7" w:history="1">
        <w:r w:rsidRPr="00131F72">
          <w:rPr>
            <w:rFonts w:ascii="Helvetica" w:eastAsia="新細明體" w:hAnsi="Helvetica" w:cs="Helvetica"/>
            <w:color w:val="337AB7"/>
            <w:kern w:val="0"/>
            <w:szCs w:val="24"/>
            <w:u w:val="single"/>
          </w:rPr>
          <w:t>https://www.roc-taiwan.org/ph_en/cat/38.html</w:t>
        </w:r>
      </w:hyperlink>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You may also refer to the “Study in Taiwan” website for more information on the universities and programs available in Taiwan, as well as some featured universities by the Foundation for International Cooperation in Higher Education (FICHET) through the following links.</w:t>
      </w:r>
    </w:p>
    <w:p w:rsidR="00131F72" w:rsidRPr="00131F72" w:rsidRDefault="00321926" w:rsidP="00131F72">
      <w:pPr>
        <w:widowControl/>
        <w:shd w:val="clear" w:color="auto" w:fill="DEDDDB"/>
        <w:spacing w:after="150" w:line="375" w:lineRule="atLeast"/>
        <w:rPr>
          <w:rFonts w:ascii="Helvetica" w:eastAsia="新細明體" w:hAnsi="Helvetica" w:cs="Helvetica"/>
          <w:color w:val="333333"/>
          <w:kern w:val="0"/>
          <w:szCs w:val="24"/>
        </w:rPr>
      </w:pPr>
      <w:hyperlink r:id="rId8" w:history="1">
        <w:r w:rsidR="00131F72" w:rsidRPr="00131F72">
          <w:rPr>
            <w:rFonts w:ascii="Helvetica" w:eastAsia="新細明體" w:hAnsi="Helvetica" w:cs="Helvetica"/>
            <w:color w:val="337AB7"/>
            <w:kern w:val="0"/>
            <w:szCs w:val="24"/>
            <w:u w:val="single"/>
          </w:rPr>
          <w:t>https://www.studyintaiwan.org/discover/education</w:t>
        </w:r>
      </w:hyperlink>
    </w:p>
    <w:p w:rsidR="00131F72" w:rsidRPr="00131F72" w:rsidRDefault="00321926" w:rsidP="00131F72">
      <w:pPr>
        <w:widowControl/>
        <w:shd w:val="clear" w:color="auto" w:fill="DEDDDB"/>
        <w:spacing w:after="150" w:line="375" w:lineRule="atLeast"/>
        <w:rPr>
          <w:rFonts w:ascii="Helvetica" w:eastAsia="新細明體" w:hAnsi="Helvetica" w:cs="Helvetica"/>
          <w:color w:val="333333"/>
          <w:kern w:val="0"/>
          <w:szCs w:val="24"/>
        </w:rPr>
      </w:pPr>
      <w:hyperlink r:id="rId9" w:history="1">
        <w:r w:rsidR="00131F72" w:rsidRPr="00131F72">
          <w:rPr>
            <w:rFonts w:ascii="Helvetica" w:eastAsia="新細明體" w:hAnsi="Helvetica" w:cs="Helvetica"/>
            <w:color w:val="337AB7"/>
            <w:kern w:val="0"/>
            <w:szCs w:val="24"/>
            <w:u w:val="single"/>
          </w:rPr>
          <w:t>https://www.studyintaiwan.org/upload/file/2017-2018FeaturedUniversities_FICHET.pdf</w:t>
        </w:r>
      </w:hyperlink>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Since the introduction of the scholarship programs to the Philippines, Taiwan has partnered with Philippine institutions and universities to attract more young and capable talents to study in Taiwan. More and more Filipinos have become interested in pursuing their studies there because of various reasons. Aside from being the Philippine’s closest neighbor, Taiwan is also known to be one of the safest countries to reside in and is home to some of the nicest people in the world. They share the same qualities as their Filipino neighbors and provide a very affordable living environment for those staying there. Taiwan also possesses some of the best professors and high-class university facilities worldwide. Not only is Taiwan considered to be a melting-pot of different cultures, but also possesses a high quality living standard suitable to all its international students.</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xml:space="preserve">In order to enhance the cooperation with its neighboring countries, President Tsai </w:t>
      </w:r>
      <w:proofErr w:type="spellStart"/>
      <w:r w:rsidRPr="00131F72">
        <w:rPr>
          <w:rFonts w:ascii="Helvetica" w:eastAsia="新細明體" w:hAnsi="Helvetica" w:cs="Helvetica"/>
          <w:color w:val="333333"/>
          <w:kern w:val="0"/>
          <w:szCs w:val="24"/>
        </w:rPr>
        <w:t>Ing</w:t>
      </w:r>
      <w:proofErr w:type="spellEnd"/>
      <w:r w:rsidRPr="00131F72">
        <w:rPr>
          <w:rFonts w:ascii="Helvetica" w:eastAsia="新細明體" w:hAnsi="Helvetica" w:cs="Helvetica"/>
          <w:color w:val="333333"/>
          <w:kern w:val="0"/>
          <w:szCs w:val="24"/>
        </w:rPr>
        <w:t xml:space="preserve">-wen is pushing forward with the “New Southbound Policy” to emphasize greater people to people exchanges in the different sectors, especially in the fields of education, tourism, and culture. Mr. Michael </w:t>
      </w:r>
      <w:proofErr w:type="spellStart"/>
      <w:r w:rsidRPr="00131F72">
        <w:rPr>
          <w:rFonts w:ascii="Helvetica" w:eastAsia="新細明體" w:hAnsi="Helvetica" w:cs="Helvetica"/>
          <w:color w:val="333333"/>
          <w:kern w:val="0"/>
          <w:szCs w:val="24"/>
        </w:rPr>
        <w:t>Peiyung</w:t>
      </w:r>
      <w:proofErr w:type="spellEnd"/>
      <w:r w:rsidRPr="00131F72">
        <w:rPr>
          <w:rFonts w:ascii="Helvetica" w:eastAsia="新細明體" w:hAnsi="Helvetica" w:cs="Helvetica"/>
          <w:color w:val="333333"/>
          <w:kern w:val="0"/>
          <w:szCs w:val="24"/>
        </w:rPr>
        <w:t xml:space="preserve"> Hsu, Representative of Taiwan/ROC to the Philippines is hoping that more and more Filipinos seize this opportunity to study and experience Taiwan as he sees our two countries and its people can complement each other, emphasizing that Taiwan is truly the best location for Filipinos to pursue higher studies due to the conveniences that it presents.</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xml:space="preserve">For further information regarding these scholarship programs, you may </w:t>
      </w:r>
      <w:r w:rsidRPr="00321926">
        <w:rPr>
          <w:rFonts w:ascii="Helvetica" w:eastAsia="新細明體" w:hAnsi="Helvetica" w:cs="Helvetica"/>
          <w:color w:val="333333"/>
          <w:kern w:val="0"/>
          <w:szCs w:val="24"/>
          <w:highlight w:val="yellow"/>
        </w:rPr>
        <w:t>check the “STUDY IN TAIWAN” section</w:t>
      </w:r>
      <w:bookmarkStart w:id="0" w:name="_GoBack"/>
      <w:bookmarkEnd w:id="0"/>
      <w:r w:rsidRPr="00131F72">
        <w:rPr>
          <w:rFonts w:ascii="Helvetica" w:eastAsia="新細明體" w:hAnsi="Helvetica" w:cs="Helvetica"/>
          <w:color w:val="333333"/>
          <w:kern w:val="0"/>
          <w:szCs w:val="24"/>
        </w:rPr>
        <w:t xml:space="preserve"> found in official website of TECO in the Philippines at </w:t>
      </w:r>
      <w:hyperlink r:id="rId10" w:history="1">
        <w:r w:rsidRPr="00131F72">
          <w:rPr>
            <w:rFonts w:ascii="Helvetica" w:eastAsia="新細明體" w:hAnsi="Helvetica" w:cs="Helvetica"/>
            <w:color w:val="337AB7"/>
            <w:kern w:val="0"/>
            <w:szCs w:val="24"/>
            <w:u w:val="single"/>
          </w:rPr>
          <w:t>https://www.roc-taiwan.org/ph_en/cat/38.html</w:t>
        </w:r>
      </w:hyperlink>
      <w:r w:rsidRPr="00131F72">
        <w:rPr>
          <w:rFonts w:ascii="Helvetica" w:eastAsia="新細明體" w:hAnsi="Helvetica" w:cs="Helvetica"/>
          <w:color w:val="333333"/>
          <w:kern w:val="0"/>
          <w:szCs w:val="24"/>
        </w:rPr>
        <w:t> or contact TECO’s Education Division at </w:t>
      </w:r>
      <w:hyperlink r:id="rId11" w:history="1">
        <w:r w:rsidRPr="00131F72">
          <w:rPr>
            <w:rFonts w:ascii="Helvetica" w:eastAsia="新細明體" w:hAnsi="Helvetica" w:cs="Helvetica"/>
            <w:color w:val="337AB7"/>
            <w:kern w:val="0"/>
            <w:szCs w:val="24"/>
            <w:u w:val="single"/>
          </w:rPr>
          <w:t>philippines@mail.moe.gov.tw</w:t>
        </w:r>
      </w:hyperlink>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color w:val="333333"/>
          <w:kern w:val="0"/>
          <w:szCs w:val="24"/>
        </w:rPr>
        <w:t> </w:t>
      </w:r>
    </w:p>
    <w:p w:rsidR="00131F72" w:rsidRPr="00131F72" w:rsidRDefault="00131F72" w:rsidP="00131F72">
      <w:pPr>
        <w:widowControl/>
        <w:shd w:val="clear" w:color="auto" w:fill="DEDDDB"/>
        <w:spacing w:after="150" w:line="375" w:lineRule="atLeast"/>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rPr>
        <w:t> Taipei Economic and Cultural Office (TECO) in the Philippines</w:t>
      </w:r>
    </w:p>
    <w:p w:rsidR="00131F72" w:rsidRPr="00131F72" w:rsidRDefault="00131F72" w:rsidP="00131F72">
      <w:pPr>
        <w:widowControl/>
        <w:shd w:val="clear" w:color="auto" w:fill="DEDDDB"/>
        <w:spacing w:line="375" w:lineRule="atLeast"/>
        <w:rPr>
          <w:rFonts w:ascii="Helvetica" w:eastAsia="新細明體" w:hAnsi="Helvetica" w:cs="Helvetica"/>
          <w:color w:val="333333"/>
          <w:kern w:val="0"/>
          <w:szCs w:val="24"/>
        </w:rPr>
      </w:pPr>
      <w:r w:rsidRPr="00131F72">
        <w:rPr>
          <w:rFonts w:ascii="Helvetica" w:eastAsia="新細明體" w:hAnsi="Helvetica" w:cs="Helvetica"/>
          <w:b/>
          <w:bCs/>
          <w:color w:val="333333"/>
          <w:kern w:val="0"/>
          <w:szCs w:val="24"/>
        </w:rPr>
        <w:t>Manila, December 2018</w:t>
      </w:r>
    </w:p>
    <w:p w:rsidR="00A71411" w:rsidRDefault="00A71411"/>
    <w:sectPr w:rsidR="00A714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0FD"/>
    <w:multiLevelType w:val="multilevel"/>
    <w:tmpl w:val="6A607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13086"/>
    <w:multiLevelType w:val="multilevel"/>
    <w:tmpl w:val="61464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325D6E"/>
    <w:multiLevelType w:val="multilevel"/>
    <w:tmpl w:val="0308A9CE"/>
    <w:lvl w:ilvl="0">
      <w:start w:val="1"/>
      <w:numFmt w:val="decimal"/>
      <w:lvlText w:val="%1."/>
      <w:lvlJc w:val="left"/>
      <w:pPr>
        <w:tabs>
          <w:tab w:val="num" w:pos="3904"/>
        </w:tabs>
        <w:ind w:left="3904" w:hanging="360"/>
      </w:pPr>
    </w:lvl>
    <w:lvl w:ilvl="1" w:tentative="1">
      <w:start w:val="1"/>
      <w:numFmt w:val="decimal"/>
      <w:lvlText w:val="%2."/>
      <w:lvlJc w:val="left"/>
      <w:pPr>
        <w:tabs>
          <w:tab w:val="num" w:pos="4624"/>
        </w:tabs>
        <w:ind w:left="4624" w:hanging="360"/>
      </w:pPr>
    </w:lvl>
    <w:lvl w:ilvl="2" w:tentative="1">
      <w:start w:val="1"/>
      <w:numFmt w:val="decimal"/>
      <w:lvlText w:val="%3."/>
      <w:lvlJc w:val="left"/>
      <w:pPr>
        <w:tabs>
          <w:tab w:val="num" w:pos="5344"/>
        </w:tabs>
        <w:ind w:left="5344" w:hanging="360"/>
      </w:pPr>
    </w:lvl>
    <w:lvl w:ilvl="3" w:tentative="1">
      <w:start w:val="1"/>
      <w:numFmt w:val="decimal"/>
      <w:lvlText w:val="%4."/>
      <w:lvlJc w:val="left"/>
      <w:pPr>
        <w:tabs>
          <w:tab w:val="num" w:pos="6064"/>
        </w:tabs>
        <w:ind w:left="6064" w:hanging="360"/>
      </w:pPr>
    </w:lvl>
    <w:lvl w:ilvl="4" w:tentative="1">
      <w:start w:val="1"/>
      <w:numFmt w:val="decimal"/>
      <w:lvlText w:val="%5."/>
      <w:lvlJc w:val="left"/>
      <w:pPr>
        <w:tabs>
          <w:tab w:val="num" w:pos="6784"/>
        </w:tabs>
        <w:ind w:left="6784" w:hanging="360"/>
      </w:pPr>
    </w:lvl>
    <w:lvl w:ilvl="5" w:tentative="1">
      <w:start w:val="1"/>
      <w:numFmt w:val="decimal"/>
      <w:lvlText w:val="%6."/>
      <w:lvlJc w:val="left"/>
      <w:pPr>
        <w:tabs>
          <w:tab w:val="num" w:pos="7504"/>
        </w:tabs>
        <w:ind w:left="7504" w:hanging="360"/>
      </w:pPr>
    </w:lvl>
    <w:lvl w:ilvl="6" w:tentative="1">
      <w:start w:val="1"/>
      <w:numFmt w:val="decimal"/>
      <w:lvlText w:val="%7."/>
      <w:lvlJc w:val="left"/>
      <w:pPr>
        <w:tabs>
          <w:tab w:val="num" w:pos="8224"/>
        </w:tabs>
        <w:ind w:left="8224" w:hanging="360"/>
      </w:pPr>
    </w:lvl>
    <w:lvl w:ilvl="7" w:tentative="1">
      <w:start w:val="1"/>
      <w:numFmt w:val="decimal"/>
      <w:lvlText w:val="%8."/>
      <w:lvlJc w:val="left"/>
      <w:pPr>
        <w:tabs>
          <w:tab w:val="num" w:pos="8944"/>
        </w:tabs>
        <w:ind w:left="8944" w:hanging="360"/>
      </w:pPr>
    </w:lvl>
    <w:lvl w:ilvl="8" w:tentative="1">
      <w:start w:val="1"/>
      <w:numFmt w:val="decimal"/>
      <w:lvlText w:val="%9."/>
      <w:lvlJc w:val="left"/>
      <w:pPr>
        <w:tabs>
          <w:tab w:val="num" w:pos="9664"/>
        </w:tabs>
        <w:ind w:left="9664"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72"/>
    <w:rsid w:val="000A7964"/>
    <w:rsid w:val="00105F97"/>
    <w:rsid w:val="00131F72"/>
    <w:rsid w:val="00235C28"/>
    <w:rsid w:val="00321926"/>
    <w:rsid w:val="00447E2F"/>
    <w:rsid w:val="004C0589"/>
    <w:rsid w:val="00554A7E"/>
    <w:rsid w:val="005D7DA9"/>
    <w:rsid w:val="00853C21"/>
    <w:rsid w:val="00893390"/>
    <w:rsid w:val="009C6AF9"/>
    <w:rsid w:val="009E278B"/>
    <w:rsid w:val="00A32A4A"/>
    <w:rsid w:val="00A71411"/>
    <w:rsid w:val="00B46C9D"/>
    <w:rsid w:val="00D53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0878">
      <w:bodyDiv w:val="1"/>
      <w:marLeft w:val="0"/>
      <w:marRight w:val="0"/>
      <w:marTop w:val="0"/>
      <w:marBottom w:val="0"/>
      <w:divBdr>
        <w:top w:val="none" w:sz="0" w:space="0" w:color="auto"/>
        <w:left w:val="none" w:sz="0" w:space="0" w:color="auto"/>
        <w:bottom w:val="none" w:sz="0" w:space="0" w:color="auto"/>
        <w:right w:val="none" w:sz="0" w:space="0" w:color="auto"/>
      </w:divBdr>
      <w:divsChild>
        <w:div w:id="653410076">
          <w:marLeft w:val="-225"/>
          <w:marRight w:val="-225"/>
          <w:marTop w:val="0"/>
          <w:marBottom w:val="0"/>
          <w:divBdr>
            <w:top w:val="none" w:sz="0" w:space="0" w:color="auto"/>
            <w:left w:val="none" w:sz="0" w:space="0" w:color="auto"/>
            <w:bottom w:val="none" w:sz="0" w:space="0" w:color="auto"/>
            <w:right w:val="none" w:sz="0" w:space="0" w:color="auto"/>
          </w:divBdr>
          <w:divsChild>
            <w:div w:id="1747653991">
              <w:marLeft w:val="0"/>
              <w:marRight w:val="0"/>
              <w:marTop w:val="150"/>
              <w:marBottom w:val="225"/>
              <w:divBdr>
                <w:top w:val="none" w:sz="0" w:space="0" w:color="auto"/>
                <w:left w:val="none" w:sz="0" w:space="0" w:color="auto"/>
                <w:bottom w:val="none" w:sz="0" w:space="0" w:color="auto"/>
                <w:right w:val="none" w:sz="0" w:space="0" w:color="auto"/>
              </w:divBdr>
            </w:div>
          </w:divsChild>
        </w:div>
        <w:div w:id="579215061">
          <w:marLeft w:val="-225"/>
          <w:marRight w:val="-225"/>
          <w:marTop w:val="0"/>
          <w:marBottom w:val="0"/>
          <w:divBdr>
            <w:top w:val="none" w:sz="0" w:space="0" w:color="auto"/>
            <w:left w:val="none" w:sz="0" w:space="0" w:color="auto"/>
            <w:bottom w:val="none" w:sz="0" w:space="0" w:color="auto"/>
            <w:right w:val="none" w:sz="0" w:space="0" w:color="auto"/>
          </w:divBdr>
          <w:divsChild>
            <w:div w:id="647589999">
              <w:marLeft w:val="0"/>
              <w:marRight w:val="0"/>
              <w:marTop w:val="0"/>
              <w:marBottom w:val="0"/>
              <w:divBdr>
                <w:top w:val="none" w:sz="0" w:space="0" w:color="auto"/>
                <w:left w:val="none" w:sz="0" w:space="0" w:color="auto"/>
                <w:bottom w:val="none" w:sz="0" w:space="0" w:color="auto"/>
                <w:right w:val="none" w:sz="0" w:space="0" w:color="auto"/>
              </w:divBdr>
            </w:div>
            <w:div w:id="2030910676">
              <w:marLeft w:val="0"/>
              <w:marRight w:val="0"/>
              <w:marTop w:val="0"/>
              <w:marBottom w:val="0"/>
              <w:divBdr>
                <w:top w:val="none" w:sz="0" w:space="0" w:color="auto"/>
                <w:left w:val="none" w:sz="0" w:space="0" w:color="auto"/>
                <w:bottom w:val="none" w:sz="0" w:space="0" w:color="auto"/>
                <w:right w:val="none" w:sz="0" w:space="0" w:color="auto"/>
              </w:divBdr>
            </w:div>
          </w:divsChild>
        </w:div>
        <w:div w:id="29112125">
          <w:marLeft w:val="-225"/>
          <w:marRight w:val="-225"/>
          <w:marTop w:val="0"/>
          <w:marBottom w:val="0"/>
          <w:divBdr>
            <w:top w:val="none" w:sz="0" w:space="0" w:color="auto"/>
            <w:left w:val="none" w:sz="0" w:space="0" w:color="auto"/>
            <w:bottom w:val="none" w:sz="0" w:space="0" w:color="auto"/>
            <w:right w:val="none" w:sz="0" w:space="0" w:color="auto"/>
          </w:divBdr>
          <w:divsChild>
            <w:div w:id="1517617849">
              <w:marLeft w:val="0"/>
              <w:marRight w:val="0"/>
              <w:marTop w:val="0"/>
              <w:marBottom w:val="0"/>
              <w:divBdr>
                <w:top w:val="none" w:sz="0" w:space="0" w:color="auto"/>
                <w:left w:val="none" w:sz="0" w:space="0" w:color="auto"/>
                <w:bottom w:val="none" w:sz="0" w:space="0" w:color="auto"/>
                <w:right w:val="none" w:sz="0" w:space="0" w:color="auto"/>
              </w:divBdr>
              <w:divsChild>
                <w:div w:id="6753089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taiwan.org/discover/edu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oc-taiwan.org/ph_en/cat/3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law.moe.gov.tw/EngLawContent.aspx?Type=E&amp;id=250" TargetMode="External"/><Relationship Id="rId11" Type="http://schemas.openxmlformats.org/officeDocument/2006/relationships/hyperlink" Target="mailto:philippines@mail.moe.gov.tw" TargetMode="External"/><Relationship Id="rId5" Type="http://schemas.openxmlformats.org/officeDocument/2006/relationships/webSettings" Target="webSettings.xml"/><Relationship Id="rId10" Type="http://schemas.openxmlformats.org/officeDocument/2006/relationships/hyperlink" Target="https://www.roc-taiwan.org/ph_en/cat/38.html" TargetMode="External"/><Relationship Id="rId4" Type="http://schemas.openxmlformats.org/officeDocument/2006/relationships/settings" Target="settings.xml"/><Relationship Id="rId9" Type="http://schemas.openxmlformats.org/officeDocument/2006/relationships/hyperlink" Target="https://www.studyintaiwan.org/upload/file/2017-2018FeaturedUniversities_FICHET.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51</cp:revision>
  <dcterms:created xsi:type="dcterms:W3CDTF">2019-01-08T02:58:00Z</dcterms:created>
  <dcterms:modified xsi:type="dcterms:W3CDTF">2019-01-08T03:12:00Z</dcterms:modified>
</cp:coreProperties>
</file>